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A53D5" w14:textId="77777777" w:rsidR="00000000" w:rsidRDefault="00000000">
      <w:pPr>
        <w:pStyle w:val="UFCtable"/>
      </w:pPr>
      <w:bookmarkStart w:id="0" w:name="_Toc107214800"/>
      <w:r>
        <w:t>TABLE 4-11.</w:t>
      </w:r>
      <w:proofErr w:type="gramStart"/>
      <w:r>
        <w:t>3  SMALL</w:t>
      </w:r>
      <w:proofErr w:type="gramEnd"/>
      <w:r>
        <w:t xml:space="preserve"> MULTIPURPOSE ROOM</w:t>
      </w:r>
      <w:bookmarkEnd w:id="0"/>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7920"/>
      </w:tblGrid>
      <w:tr w:rsidR="00000000" w14:paraId="393F8874" w14:textId="77777777">
        <w:tblPrEx>
          <w:tblCellMar>
            <w:top w:w="0" w:type="dxa"/>
            <w:bottom w:w="0" w:type="dxa"/>
          </w:tblCellMar>
        </w:tblPrEx>
        <w:trPr>
          <w:cantSplit/>
        </w:trPr>
        <w:tc>
          <w:tcPr>
            <w:tcW w:w="1728" w:type="dxa"/>
            <w:tcBorders>
              <w:right w:val="nil"/>
            </w:tcBorders>
          </w:tcPr>
          <w:p w14:paraId="4B7F0D7C" w14:textId="77777777" w:rsidR="00000000" w:rsidRDefault="00000000">
            <w:pPr>
              <w:pStyle w:val="tabletext"/>
              <w:rPr>
                <w:b/>
                <w:bCs/>
              </w:rPr>
            </w:pPr>
            <w:r>
              <w:rPr>
                <w:b/>
                <w:bCs/>
              </w:rPr>
              <w:t>Description/</w:t>
            </w:r>
            <w:r>
              <w:rPr>
                <w:b/>
                <w:bCs/>
              </w:rPr>
              <w:br/>
              <w:t>Usage</w:t>
            </w:r>
          </w:p>
        </w:tc>
        <w:tc>
          <w:tcPr>
            <w:tcW w:w="7920" w:type="dxa"/>
            <w:tcBorders>
              <w:left w:val="nil"/>
            </w:tcBorders>
          </w:tcPr>
          <w:p w14:paraId="643538AB" w14:textId="77777777" w:rsidR="00000000" w:rsidRDefault="00000000">
            <w:pPr>
              <w:pStyle w:val="tabletext"/>
            </w:pPr>
            <w:r>
              <w:t>This space is optional for the Army and Navy and provides an active function room slotting in size between the Special Activity Room and the smallest Multipurpose Room option. It also generally has less sophisticated equipment than the Multipurpose Room.</w:t>
            </w:r>
          </w:p>
          <w:p w14:paraId="68CBE42A" w14:textId="77777777" w:rsidR="00000000" w:rsidRDefault="00000000">
            <w:pPr>
              <w:pStyle w:val="tabletext"/>
            </w:pPr>
          </w:p>
          <w:p w14:paraId="70FD1C9C" w14:textId="77777777" w:rsidR="00000000" w:rsidRDefault="00000000">
            <w:pPr>
              <w:pStyle w:val="tabletext"/>
            </w:pPr>
            <w:r>
              <w:t>It is used for a variety of activities including four-square, dances, martial arts, movies, and dance classes.</w:t>
            </w:r>
          </w:p>
        </w:tc>
      </w:tr>
      <w:tr w:rsidR="00000000" w14:paraId="74838002" w14:textId="77777777">
        <w:tblPrEx>
          <w:tblCellMar>
            <w:top w:w="0" w:type="dxa"/>
            <w:bottom w:w="0" w:type="dxa"/>
          </w:tblCellMar>
        </w:tblPrEx>
        <w:trPr>
          <w:cantSplit/>
        </w:trPr>
        <w:tc>
          <w:tcPr>
            <w:tcW w:w="1728" w:type="dxa"/>
            <w:tcBorders>
              <w:right w:val="nil"/>
            </w:tcBorders>
          </w:tcPr>
          <w:p w14:paraId="5562A6AD" w14:textId="77777777" w:rsidR="00000000" w:rsidRDefault="00000000">
            <w:pPr>
              <w:pStyle w:val="tabletext"/>
              <w:rPr>
                <w:b/>
                <w:bCs/>
              </w:rPr>
            </w:pPr>
            <w:r>
              <w:rPr>
                <w:b/>
                <w:bCs/>
              </w:rPr>
              <w:t>Min. Ceiling Ht.</w:t>
            </w:r>
          </w:p>
        </w:tc>
        <w:tc>
          <w:tcPr>
            <w:tcW w:w="7920" w:type="dxa"/>
            <w:tcBorders>
              <w:left w:val="nil"/>
            </w:tcBorders>
          </w:tcPr>
          <w:p w14:paraId="44A12133" w14:textId="77777777" w:rsidR="00000000" w:rsidRDefault="00000000">
            <w:pPr>
              <w:pStyle w:val="tabletext"/>
            </w:pPr>
            <w:r>
              <w:t xml:space="preserve">3.66 m (12 ft.).  Generally, 4.88 m (16 ft.) is the maximum ceiling </w:t>
            </w:r>
            <w:proofErr w:type="gramStart"/>
            <w:r>
              <w:t>height, but</w:t>
            </w:r>
            <w:proofErr w:type="gramEnd"/>
            <w:r>
              <w:t xml:space="preserve"> consider the intended usage of the room.</w:t>
            </w:r>
          </w:p>
        </w:tc>
      </w:tr>
      <w:tr w:rsidR="00000000" w14:paraId="38158115" w14:textId="77777777">
        <w:tblPrEx>
          <w:tblCellMar>
            <w:top w:w="0" w:type="dxa"/>
            <w:bottom w:w="0" w:type="dxa"/>
          </w:tblCellMar>
        </w:tblPrEx>
        <w:trPr>
          <w:cantSplit/>
        </w:trPr>
        <w:tc>
          <w:tcPr>
            <w:tcW w:w="1728" w:type="dxa"/>
            <w:tcBorders>
              <w:top w:val="nil"/>
              <w:bottom w:val="nil"/>
              <w:right w:val="nil"/>
            </w:tcBorders>
          </w:tcPr>
          <w:p w14:paraId="73D2CECD" w14:textId="77777777" w:rsidR="00000000" w:rsidRDefault="00000000">
            <w:pPr>
              <w:pStyle w:val="tabletext"/>
              <w:rPr>
                <w:b/>
                <w:bCs/>
              </w:rPr>
            </w:pPr>
            <w:r>
              <w:rPr>
                <w:b/>
                <w:bCs/>
              </w:rPr>
              <w:t>Finishes</w:t>
            </w:r>
          </w:p>
        </w:tc>
        <w:tc>
          <w:tcPr>
            <w:tcW w:w="7920" w:type="dxa"/>
            <w:tcBorders>
              <w:top w:val="nil"/>
              <w:left w:val="nil"/>
              <w:bottom w:val="nil"/>
            </w:tcBorders>
          </w:tcPr>
          <w:p w14:paraId="795474E5" w14:textId="77777777" w:rsidR="00000000" w:rsidRDefault="00000000">
            <w:pPr>
              <w:pStyle w:val="tabletext"/>
            </w:pPr>
            <w:r>
              <w:rPr>
                <w:b/>
                <w:bCs/>
              </w:rPr>
              <w:t xml:space="preserve">Walls. </w:t>
            </w:r>
            <w:r>
              <w:t xml:space="preserve"> Impact-resistant painted gypsum wallboard.</w:t>
            </w:r>
          </w:p>
        </w:tc>
      </w:tr>
      <w:tr w:rsidR="00000000" w14:paraId="2155B819" w14:textId="77777777">
        <w:tblPrEx>
          <w:tblCellMar>
            <w:top w:w="0" w:type="dxa"/>
            <w:bottom w:w="0" w:type="dxa"/>
          </w:tblCellMar>
        </w:tblPrEx>
        <w:trPr>
          <w:cantSplit/>
        </w:trPr>
        <w:tc>
          <w:tcPr>
            <w:tcW w:w="1728" w:type="dxa"/>
            <w:tcBorders>
              <w:top w:val="nil"/>
              <w:bottom w:val="nil"/>
              <w:right w:val="nil"/>
            </w:tcBorders>
          </w:tcPr>
          <w:p w14:paraId="2C05E144" w14:textId="77777777" w:rsidR="00000000" w:rsidRDefault="00000000">
            <w:pPr>
              <w:pStyle w:val="tabletext"/>
            </w:pPr>
          </w:p>
        </w:tc>
        <w:tc>
          <w:tcPr>
            <w:tcW w:w="7920" w:type="dxa"/>
            <w:tcBorders>
              <w:top w:val="nil"/>
              <w:left w:val="nil"/>
              <w:bottom w:val="nil"/>
            </w:tcBorders>
          </w:tcPr>
          <w:p w14:paraId="789FB0FC" w14:textId="77777777" w:rsidR="00000000" w:rsidRDefault="00000000">
            <w:pPr>
              <w:pStyle w:val="tabletext"/>
            </w:pPr>
            <w:r>
              <w:rPr>
                <w:b/>
                <w:bCs/>
              </w:rPr>
              <w:t>Floor.</w:t>
            </w:r>
            <w:r>
              <w:t xml:space="preserve">  VCT or consider synthetic athletic flooring or rubber tile.</w:t>
            </w:r>
          </w:p>
        </w:tc>
      </w:tr>
      <w:tr w:rsidR="00000000" w14:paraId="46185400" w14:textId="77777777">
        <w:tblPrEx>
          <w:tblCellMar>
            <w:top w:w="0" w:type="dxa"/>
            <w:bottom w:w="0" w:type="dxa"/>
          </w:tblCellMar>
        </w:tblPrEx>
        <w:trPr>
          <w:cantSplit/>
        </w:trPr>
        <w:tc>
          <w:tcPr>
            <w:tcW w:w="1728" w:type="dxa"/>
            <w:tcBorders>
              <w:top w:val="nil"/>
              <w:bottom w:val="nil"/>
              <w:right w:val="nil"/>
            </w:tcBorders>
          </w:tcPr>
          <w:p w14:paraId="708456FE" w14:textId="77777777" w:rsidR="00000000" w:rsidRDefault="00000000">
            <w:pPr>
              <w:pStyle w:val="tabletext"/>
            </w:pPr>
          </w:p>
        </w:tc>
        <w:tc>
          <w:tcPr>
            <w:tcW w:w="7920" w:type="dxa"/>
            <w:tcBorders>
              <w:top w:val="nil"/>
              <w:left w:val="nil"/>
              <w:bottom w:val="nil"/>
            </w:tcBorders>
          </w:tcPr>
          <w:p w14:paraId="200A4C28" w14:textId="77777777" w:rsidR="00000000" w:rsidRDefault="00000000">
            <w:pPr>
              <w:pStyle w:val="tabletext"/>
            </w:pPr>
            <w:r>
              <w:rPr>
                <w:b/>
                <w:bCs/>
              </w:rPr>
              <w:t>Ceiling.</w:t>
            </w:r>
            <w:r>
              <w:t xml:space="preserve">  Exposed, painted structure or ACP with hold-down clips.</w:t>
            </w:r>
          </w:p>
        </w:tc>
      </w:tr>
      <w:tr w:rsidR="00000000" w14:paraId="1D1761DD" w14:textId="77777777">
        <w:tblPrEx>
          <w:tblCellMar>
            <w:top w:w="0" w:type="dxa"/>
            <w:bottom w:w="0" w:type="dxa"/>
          </w:tblCellMar>
        </w:tblPrEx>
        <w:trPr>
          <w:cantSplit/>
        </w:trPr>
        <w:tc>
          <w:tcPr>
            <w:tcW w:w="1728" w:type="dxa"/>
            <w:tcBorders>
              <w:right w:val="nil"/>
            </w:tcBorders>
          </w:tcPr>
          <w:p w14:paraId="2E5B6A0E" w14:textId="77777777" w:rsidR="00000000" w:rsidRDefault="00000000">
            <w:pPr>
              <w:pStyle w:val="tabletext"/>
              <w:rPr>
                <w:b/>
                <w:bCs/>
              </w:rPr>
            </w:pPr>
            <w:r>
              <w:rPr>
                <w:b/>
                <w:bCs/>
              </w:rPr>
              <w:t>Plumbing</w:t>
            </w:r>
          </w:p>
        </w:tc>
        <w:tc>
          <w:tcPr>
            <w:tcW w:w="7920" w:type="dxa"/>
            <w:tcBorders>
              <w:left w:val="nil"/>
            </w:tcBorders>
          </w:tcPr>
          <w:p w14:paraId="04005DB4" w14:textId="77777777" w:rsidR="00000000" w:rsidRDefault="00000000">
            <w:pPr>
              <w:pStyle w:val="tabletext"/>
            </w:pPr>
            <w:r>
              <w:t>None required.</w:t>
            </w:r>
          </w:p>
        </w:tc>
      </w:tr>
      <w:tr w:rsidR="00000000" w14:paraId="591A52CC" w14:textId="77777777">
        <w:tblPrEx>
          <w:tblCellMar>
            <w:top w:w="0" w:type="dxa"/>
            <w:bottom w:w="0" w:type="dxa"/>
          </w:tblCellMar>
        </w:tblPrEx>
        <w:trPr>
          <w:cantSplit/>
        </w:trPr>
        <w:tc>
          <w:tcPr>
            <w:tcW w:w="1728" w:type="dxa"/>
            <w:tcBorders>
              <w:right w:val="nil"/>
            </w:tcBorders>
          </w:tcPr>
          <w:p w14:paraId="251219DA" w14:textId="77777777" w:rsidR="00000000" w:rsidRDefault="00000000">
            <w:pPr>
              <w:pStyle w:val="tabletext"/>
              <w:rPr>
                <w:b/>
                <w:bCs/>
              </w:rPr>
            </w:pPr>
            <w:r>
              <w:rPr>
                <w:b/>
                <w:bCs/>
              </w:rPr>
              <w:t>HVAC</w:t>
            </w:r>
          </w:p>
        </w:tc>
        <w:tc>
          <w:tcPr>
            <w:tcW w:w="7920" w:type="dxa"/>
            <w:tcBorders>
              <w:left w:val="nil"/>
            </w:tcBorders>
          </w:tcPr>
          <w:p w14:paraId="42768D5F" w14:textId="77777777" w:rsidR="00000000" w:rsidRDefault="00000000">
            <w:pPr>
              <w:pStyle w:val="tabletext"/>
            </w:pPr>
            <w:r>
              <w:t>18 C (65 F) minimum, 26 C (78 F) maximum; 15 cfm/person outside air, with CO</w:t>
            </w:r>
            <w:r>
              <w:rPr>
                <w:vertAlign w:val="subscript"/>
              </w:rPr>
              <w:t>2</w:t>
            </w:r>
            <w:r>
              <w:t xml:space="preserve"> sensors or other type of energy conservation system; </w:t>
            </w:r>
            <w:proofErr w:type="gramStart"/>
            <w:r>
              <w:t>10</w:t>
            </w:r>
            <w:proofErr w:type="gramEnd"/>
            <w:r>
              <w:t xml:space="preserve"> air changes/hour.</w:t>
            </w:r>
          </w:p>
        </w:tc>
      </w:tr>
      <w:tr w:rsidR="00000000" w14:paraId="589381AF" w14:textId="77777777">
        <w:tblPrEx>
          <w:tblCellMar>
            <w:top w:w="0" w:type="dxa"/>
            <w:bottom w:w="0" w:type="dxa"/>
          </w:tblCellMar>
        </w:tblPrEx>
        <w:trPr>
          <w:cantSplit/>
        </w:trPr>
        <w:tc>
          <w:tcPr>
            <w:tcW w:w="1728" w:type="dxa"/>
            <w:tcBorders>
              <w:right w:val="nil"/>
            </w:tcBorders>
          </w:tcPr>
          <w:p w14:paraId="61E73B6B" w14:textId="77777777" w:rsidR="00000000" w:rsidRDefault="00000000">
            <w:pPr>
              <w:pStyle w:val="tabletext"/>
              <w:rPr>
                <w:b/>
                <w:bCs/>
              </w:rPr>
            </w:pPr>
            <w:r>
              <w:rPr>
                <w:b/>
                <w:bCs/>
              </w:rPr>
              <w:t>Fire Protection</w:t>
            </w:r>
          </w:p>
        </w:tc>
        <w:tc>
          <w:tcPr>
            <w:tcW w:w="7920" w:type="dxa"/>
            <w:tcBorders>
              <w:left w:val="nil"/>
            </w:tcBorders>
          </w:tcPr>
          <w:p w14:paraId="7EDF5381" w14:textId="77777777" w:rsidR="00000000" w:rsidRDefault="00000000">
            <w:pPr>
              <w:pStyle w:val="tabletext"/>
            </w:pPr>
            <w:r>
              <w:t>Provide system per paragraph 3-5.3.  Provide protection for sprinkler heads, exit signs, manual pull stations, and other exposed components; minimize equipment that protrudes into activity space or raise it above 1.83 m (6 ft.) for safety considerations.  Provide 1-hour fire separation from core areas of building.</w:t>
            </w:r>
          </w:p>
        </w:tc>
      </w:tr>
      <w:tr w:rsidR="00000000" w14:paraId="2BE742EC" w14:textId="77777777">
        <w:tblPrEx>
          <w:tblCellMar>
            <w:top w:w="0" w:type="dxa"/>
            <w:bottom w:w="0" w:type="dxa"/>
          </w:tblCellMar>
        </w:tblPrEx>
        <w:trPr>
          <w:cantSplit/>
        </w:trPr>
        <w:tc>
          <w:tcPr>
            <w:tcW w:w="1728" w:type="dxa"/>
            <w:tcBorders>
              <w:right w:val="nil"/>
            </w:tcBorders>
          </w:tcPr>
          <w:p w14:paraId="2DE3004D" w14:textId="77777777" w:rsidR="00000000" w:rsidRDefault="00000000">
            <w:pPr>
              <w:pStyle w:val="tabletext"/>
              <w:rPr>
                <w:b/>
                <w:bCs/>
              </w:rPr>
            </w:pPr>
            <w:r>
              <w:rPr>
                <w:b/>
                <w:bCs/>
              </w:rPr>
              <w:t>Power</w:t>
            </w:r>
          </w:p>
        </w:tc>
        <w:tc>
          <w:tcPr>
            <w:tcW w:w="7920" w:type="dxa"/>
            <w:tcBorders>
              <w:left w:val="nil"/>
            </w:tcBorders>
          </w:tcPr>
          <w:p w14:paraId="788F48C2" w14:textId="77777777" w:rsidR="00000000" w:rsidRDefault="00000000">
            <w:pPr>
              <w:pStyle w:val="tabletext"/>
            </w:pPr>
            <w:r>
              <w:t xml:space="preserve">Provide outlets per code. </w:t>
            </w:r>
          </w:p>
        </w:tc>
      </w:tr>
      <w:tr w:rsidR="00000000" w14:paraId="36043132" w14:textId="77777777">
        <w:tblPrEx>
          <w:tblCellMar>
            <w:top w:w="0" w:type="dxa"/>
            <w:bottom w:w="0" w:type="dxa"/>
          </w:tblCellMar>
        </w:tblPrEx>
        <w:trPr>
          <w:cantSplit/>
        </w:trPr>
        <w:tc>
          <w:tcPr>
            <w:tcW w:w="1728" w:type="dxa"/>
            <w:tcBorders>
              <w:right w:val="nil"/>
            </w:tcBorders>
          </w:tcPr>
          <w:p w14:paraId="61FF28BB" w14:textId="77777777" w:rsidR="00000000" w:rsidRDefault="00000000">
            <w:pPr>
              <w:pStyle w:val="tabletext"/>
              <w:rPr>
                <w:b/>
                <w:bCs/>
              </w:rPr>
            </w:pPr>
            <w:r>
              <w:rPr>
                <w:b/>
                <w:bCs/>
              </w:rPr>
              <w:t>Lighting</w:t>
            </w:r>
          </w:p>
        </w:tc>
        <w:tc>
          <w:tcPr>
            <w:tcW w:w="7920" w:type="dxa"/>
            <w:tcBorders>
              <w:left w:val="nil"/>
            </w:tcBorders>
          </w:tcPr>
          <w:p w14:paraId="14CA7556" w14:textId="77777777" w:rsidR="00000000" w:rsidRDefault="00000000">
            <w:pPr>
              <w:pStyle w:val="tabletext"/>
            </w:pPr>
            <w:r>
              <w:t>540 lux (50 fc), provide dual-level lighting for games and dances, fluorescent fixtures, multi-level switched, and dimmable compact fluorescent for multiple light levels.  Provide protection for all fixtures.</w:t>
            </w:r>
          </w:p>
        </w:tc>
      </w:tr>
      <w:tr w:rsidR="00000000" w14:paraId="3CFA2268" w14:textId="77777777">
        <w:tblPrEx>
          <w:tblCellMar>
            <w:top w:w="0" w:type="dxa"/>
            <w:bottom w:w="0" w:type="dxa"/>
          </w:tblCellMar>
        </w:tblPrEx>
        <w:trPr>
          <w:cantSplit/>
        </w:trPr>
        <w:tc>
          <w:tcPr>
            <w:tcW w:w="1728" w:type="dxa"/>
            <w:tcBorders>
              <w:bottom w:val="single" w:sz="4" w:space="0" w:color="auto"/>
              <w:right w:val="nil"/>
            </w:tcBorders>
          </w:tcPr>
          <w:p w14:paraId="59E0138B" w14:textId="77777777" w:rsidR="00000000" w:rsidRDefault="00000000">
            <w:pPr>
              <w:pStyle w:val="tabletext"/>
              <w:rPr>
                <w:b/>
                <w:bCs/>
              </w:rPr>
            </w:pPr>
            <w:r>
              <w:rPr>
                <w:b/>
                <w:bCs/>
              </w:rPr>
              <w:t>Communication</w:t>
            </w:r>
          </w:p>
        </w:tc>
        <w:tc>
          <w:tcPr>
            <w:tcW w:w="7920" w:type="dxa"/>
            <w:tcBorders>
              <w:left w:val="nil"/>
              <w:bottom w:val="single" w:sz="4" w:space="0" w:color="auto"/>
            </w:tcBorders>
          </w:tcPr>
          <w:p w14:paraId="045AA72C" w14:textId="77777777" w:rsidR="00000000" w:rsidRDefault="00000000">
            <w:pPr>
              <w:pStyle w:val="tabletext"/>
            </w:pPr>
            <w:r>
              <w:rPr>
                <w:b/>
                <w:bCs/>
              </w:rPr>
              <w:t xml:space="preserve">CCTV. </w:t>
            </w:r>
            <w:r>
              <w:rPr>
                <w:bCs/>
              </w:rPr>
              <w:t xml:space="preserve"> Provide at least one outlet.</w:t>
            </w:r>
          </w:p>
          <w:p w14:paraId="24CBF723" w14:textId="77777777" w:rsidR="00000000" w:rsidRDefault="00000000">
            <w:pPr>
              <w:pStyle w:val="tabletext"/>
            </w:pPr>
            <w:r>
              <w:rPr>
                <w:b/>
                <w:bCs/>
              </w:rPr>
              <w:t>CATV/Internal Video.</w:t>
            </w:r>
            <w:r>
              <w:t xml:space="preserve">  None required.</w:t>
            </w:r>
          </w:p>
          <w:p w14:paraId="3FD4BD60" w14:textId="77777777" w:rsidR="00000000" w:rsidRDefault="00000000">
            <w:pPr>
              <w:pStyle w:val="tabletext"/>
            </w:pPr>
            <w:r>
              <w:rPr>
                <w:b/>
                <w:bCs/>
              </w:rPr>
              <w:t xml:space="preserve">PA/Audio. </w:t>
            </w:r>
            <w:r>
              <w:rPr>
                <w:bCs/>
              </w:rPr>
              <w:t xml:space="preserve"> None required.</w:t>
            </w:r>
          </w:p>
          <w:p w14:paraId="5F71E689" w14:textId="77777777" w:rsidR="00000000" w:rsidRDefault="00000000">
            <w:pPr>
              <w:pStyle w:val="tabletext"/>
            </w:pPr>
            <w:r>
              <w:rPr>
                <w:b/>
                <w:bCs/>
              </w:rPr>
              <w:t>Telephone.</w:t>
            </w:r>
            <w:r>
              <w:t xml:space="preserve">  Provide one line with internal two-way communication.</w:t>
            </w:r>
          </w:p>
          <w:p w14:paraId="2FA60DBB" w14:textId="77777777" w:rsidR="00000000" w:rsidRDefault="00000000">
            <w:pPr>
              <w:pStyle w:val="tabletext"/>
            </w:pPr>
            <w:r>
              <w:rPr>
                <w:b/>
                <w:bCs/>
              </w:rPr>
              <w:t xml:space="preserve">Data. </w:t>
            </w:r>
            <w:r>
              <w:t xml:space="preserve"> None required.</w:t>
            </w:r>
          </w:p>
          <w:p w14:paraId="1069915C" w14:textId="77777777" w:rsidR="00000000" w:rsidRDefault="00000000">
            <w:pPr>
              <w:pStyle w:val="tabletext"/>
            </w:pPr>
            <w:r>
              <w:rPr>
                <w:b/>
                <w:bCs/>
              </w:rPr>
              <w:t>Security.</w:t>
            </w:r>
            <w:r>
              <w:t xml:space="preserve">  None required.</w:t>
            </w:r>
          </w:p>
        </w:tc>
      </w:tr>
      <w:tr w:rsidR="00000000" w14:paraId="7E8E68D0" w14:textId="77777777">
        <w:tblPrEx>
          <w:tblCellMar>
            <w:top w:w="0" w:type="dxa"/>
            <w:bottom w:w="0" w:type="dxa"/>
          </w:tblCellMar>
        </w:tblPrEx>
        <w:trPr>
          <w:cantSplit/>
        </w:trPr>
        <w:tc>
          <w:tcPr>
            <w:tcW w:w="1728" w:type="dxa"/>
            <w:tcBorders>
              <w:bottom w:val="single" w:sz="4" w:space="0" w:color="auto"/>
              <w:right w:val="nil"/>
            </w:tcBorders>
          </w:tcPr>
          <w:p w14:paraId="6306BB28" w14:textId="77777777" w:rsidR="00000000" w:rsidRDefault="00000000">
            <w:pPr>
              <w:pStyle w:val="tabletext"/>
              <w:rPr>
                <w:b/>
                <w:bCs/>
              </w:rPr>
            </w:pPr>
            <w:r>
              <w:rPr>
                <w:b/>
                <w:bCs/>
              </w:rPr>
              <w:t>Casework</w:t>
            </w:r>
          </w:p>
        </w:tc>
        <w:tc>
          <w:tcPr>
            <w:tcW w:w="7920" w:type="dxa"/>
            <w:tcBorders>
              <w:left w:val="nil"/>
              <w:bottom w:val="single" w:sz="4" w:space="0" w:color="auto"/>
            </w:tcBorders>
          </w:tcPr>
          <w:p w14:paraId="1446E365" w14:textId="77777777" w:rsidR="00000000" w:rsidRDefault="00000000">
            <w:pPr>
              <w:pStyle w:val="tabletext"/>
            </w:pPr>
            <w:r>
              <w:t>None required.</w:t>
            </w:r>
          </w:p>
        </w:tc>
      </w:tr>
      <w:tr w:rsidR="00000000" w14:paraId="5AB1D021" w14:textId="77777777">
        <w:tblPrEx>
          <w:tblCellMar>
            <w:top w:w="0" w:type="dxa"/>
            <w:bottom w:w="0" w:type="dxa"/>
          </w:tblCellMar>
        </w:tblPrEx>
        <w:trPr>
          <w:cantSplit/>
        </w:trPr>
        <w:tc>
          <w:tcPr>
            <w:tcW w:w="1728" w:type="dxa"/>
            <w:tcBorders>
              <w:bottom w:val="nil"/>
              <w:right w:val="nil"/>
            </w:tcBorders>
          </w:tcPr>
          <w:p w14:paraId="3857EC93" w14:textId="77777777" w:rsidR="00000000" w:rsidRDefault="00000000">
            <w:pPr>
              <w:pStyle w:val="tabletext"/>
              <w:rPr>
                <w:b/>
                <w:bCs/>
              </w:rPr>
            </w:pPr>
            <w:r>
              <w:rPr>
                <w:b/>
                <w:bCs/>
              </w:rPr>
              <w:t>Furnishings Fixtures &amp; Equipment (FF&amp;E)</w:t>
            </w:r>
          </w:p>
        </w:tc>
        <w:tc>
          <w:tcPr>
            <w:tcW w:w="7920" w:type="dxa"/>
            <w:tcBorders>
              <w:left w:val="nil"/>
              <w:bottom w:val="nil"/>
            </w:tcBorders>
          </w:tcPr>
          <w:p w14:paraId="201B845E" w14:textId="77777777" w:rsidR="00000000" w:rsidRDefault="00000000">
            <w:pPr>
              <w:pStyle w:val="tabletext"/>
            </w:pPr>
            <w:r>
              <w:t>None required.</w:t>
            </w:r>
          </w:p>
        </w:tc>
      </w:tr>
      <w:tr w:rsidR="00000000" w14:paraId="366BB2C4" w14:textId="77777777">
        <w:tblPrEx>
          <w:tblCellMar>
            <w:top w:w="0" w:type="dxa"/>
            <w:bottom w:w="0" w:type="dxa"/>
          </w:tblCellMar>
        </w:tblPrEx>
        <w:trPr>
          <w:cantSplit/>
        </w:trPr>
        <w:tc>
          <w:tcPr>
            <w:tcW w:w="1728" w:type="dxa"/>
            <w:tcBorders>
              <w:top w:val="single" w:sz="4" w:space="0" w:color="auto"/>
              <w:bottom w:val="single" w:sz="4" w:space="0" w:color="auto"/>
              <w:right w:val="nil"/>
            </w:tcBorders>
          </w:tcPr>
          <w:p w14:paraId="728A74DA" w14:textId="77777777" w:rsidR="00000000" w:rsidRDefault="00000000">
            <w:pPr>
              <w:pStyle w:val="tabletext"/>
              <w:rPr>
                <w:b/>
                <w:bCs/>
              </w:rPr>
            </w:pPr>
            <w:r>
              <w:rPr>
                <w:b/>
                <w:bCs/>
              </w:rPr>
              <w:t>Special Requirements</w:t>
            </w:r>
          </w:p>
        </w:tc>
        <w:tc>
          <w:tcPr>
            <w:tcW w:w="7920" w:type="dxa"/>
            <w:tcBorders>
              <w:top w:val="single" w:sz="4" w:space="0" w:color="auto"/>
              <w:left w:val="nil"/>
              <w:bottom w:val="single" w:sz="4" w:space="0" w:color="auto"/>
            </w:tcBorders>
          </w:tcPr>
          <w:p w14:paraId="44B1BA7E" w14:textId="77777777" w:rsidR="00000000" w:rsidRDefault="00000000">
            <w:pPr>
              <w:pStyle w:val="tabletext"/>
            </w:pPr>
            <w:r>
              <w:t xml:space="preserve">Provide at least one pair of doors to the interior of the building.  </w:t>
            </w:r>
          </w:p>
          <w:p w14:paraId="714C51CE" w14:textId="77777777" w:rsidR="00000000" w:rsidRDefault="00000000">
            <w:pPr>
              <w:pStyle w:val="tabletext"/>
            </w:pPr>
            <w:r>
              <w:t>Translucent wall panels or windows for natural lighting are desirable—provide suitable protection to windows from ball impacts.</w:t>
            </w:r>
          </w:p>
          <w:p w14:paraId="17EB4A78" w14:textId="77777777" w:rsidR="00000000" w:rsidRDefault="00000000">
            <w:pPr>
              <w:pStyle w:val="tabletext"/>
            </w:pPr>
            <w:r>
              <w:t xml:space="preserve">Provide good visual access into the room from public areas of the facility. </w:t>
            </w:r>
          </w:p>
          <w:p w14:paraId="3894902C" w14:textId="77777777" w:rsidR="00000000" w:rsidRDefault="00000000">
            <w:pPr>
              <w:pStyle w:val="tabletext"/>
            </w:pPr>
            <w:r>
              <w:rPr>
                <w:b/>
              </w:rPr>
              <w:t>Acoustics:</w:t>
            </w:r>
            <w:r>
              <w:t xml:space="preserve">  Anticipated peak noise level is 70-80 dBA.  Preferred sound criterion is 35-45 dBA.  </w:t>
            </w:r>
            <w:proofErr w:type="gramStart"/>
            <w:r>
              <w:t>Maximum</w:t>
            </w:r>
            <w:proofErr w:type="gramEnd"/>
            <w:r>
              <w:t xml:space="preserve"> reverberation time is 1.5 seconds.  STC 55 minimum at perimeter walls and ceiling. </w:t>
            </w:r>
          </w:p>
        </w:tc>
      </w:tr>
      <w:tr w:rsidR="00000000" w14:paraId="44AC5E85" w14:textId="77777777">
        <w:tblPrEx>
          <w:tblCellMar>
            <w:top w:w="0" w:type="dxa"/>
            <w:bottom w:w="0" w:type="dxa"/>
          </w:tblCellMar>
        </w:tblPrEx>
        <w:trPr>
          <w:cantSplit/>
        </w:trPr>
        <w:tc>
          <w:tcPr>
            <w:tcW w:w="9648" w:type="dxa"/>
            <w:gridSpan w:val="2"/>
            <w:tcBorders>
              <w:top w:val="single" w:sz="4" w:space="0" w:color="auto"/>
              <w:left w:val="single" w:sz="4" w:space="0" w:color="auto"/>
              <w:bottom w:val="nil"/>
              <w:right w:val="single" w:sz="4" w:space="0" w:color="auto"/>
            </w:tcBorders>
          </w:tcPr>
          <w:p w14:paraId="5CB5C751" w14:textId="77777777" w:rsidR="00000000" w:rsidRDefault="00000000">
            <w:pPr>
              <w:pStyle w:val="tablehead2"/>
            </w:pPr>
            <w:r>
              <w:t>For use during project execution by the appropriate Service agency</w:t>
            </w:r>
          </w:p>
        </w:tc>
      </w:tr>
      <w:tr w:rsidR="00000000" w14:paraId="5994D126" w14:textId="77777777">
        <w:tblPrEx>
          <w:tblCellMar>
            <w:top w:w="0" w:type="dxa"/>
            <w:bottom w:w="0" w:type="dxa"/>
          </w:tblCellMar>
        </w:tblPrEx>
        <w:trPr>
          <w:cantSplit/>
        </w:trPr>
        <w:tc>
          <w:tcPr>
            <w:tcW w:w="1728" w:type="dxa"/>
            <w:tcBorders>
              <w:top w:val="single" w:sz="4" w:space="0" w:color="auto"/>
              <w:left w:val="single" w:sz="4" w:space="0" w:color="auto"/>
              <w:bottom w:val="nil"/>
              <w:right w:val="nil"/>
            </w:tcBorders>
            <w:shd w:val="clear" w:color="auto" w:fill="C0C0C0"/>
          </w:tcPr>
          <w:p w14:paraId="23B2E3F8" w14:textId="77777777" w:rsidR="00000000" w:rsidRDefault="00000000">
            <w:pPr>
              <w:pStyle w:val="tabletext"/>
              <w:rPr>
                <w:b/>
                <w:bCs/>
              </w:rPr>
            </w:pPr>
            <w:r>
              <w:rPr>
                <w:b/>
                <w:bCs/>
              </w:rPr>
              <w:t>Occupancy</w:t>
            </w:r>
          </w:p>
        </w:tc>
        <w:tc>
          <w:tcPr>
            <w:tcW w:w="7920" w:type="dxa"/>
            <w:tcBorders>
              <w:top w:val="single" w:sz="4" w:space="0" w:color="auto"/>
              <w:left w:val="nil"/>
              <w:bottom w:val="nil"/>
              <w:right w:val="single" w:sz="4" w:space="0" w:color="auto"/>
            </w:tcBorders>
            <w:shd w:val="clear" w:color="auto" w:fill="C0C0C0"/>
          </w:tcPr>
          <w:p w14:paraId="20E057CB" w14:textId="77777777" w:rsidR="00000000" w:rsidRDefault="00000000">
            <w:pPr>
              <w:pStyle w:val="tabletext"/>
            </w:pPr>
            <w:r>
              <w:t xml:space="preserve">Staff.  </w:t>
            </w:r>
          </w:p>
        </w:tc>
      </w:tr>
      <w:tr w:rsidR="00000000" w14:paraId="61C444C2" w14:textId="77777777">
        <w:tblPrEx>
          <w:tblCellMar>
            <w:top w:w="0" w:type="dxa"/>
            <w:bottom w:w="0" w:type="dxa"/>
          </w:tblCellMar>
        </w:tblPrEx>
        <w:trPr>
          <w:cantSplit/>
        </w:trPr>
        <w:tc>
          <w:tcPr>
            <w:tcW w:w="1728" w:type="dxa"/>
            <w:tcBorders>
              <w:top w:val="nil"/>
              <w:left w:val="single" w:sz="4" w:space="0" w:color="auto"/>
              <w:bottom w:val="single" w:sz="4" w:space="0" w:color="auto"/>
              <w:right w:val="nil"/>
            </w:tcBorders>
            <w:shd w:val="clear" w:color="auto" w:fill="C0C0C0"/>
          </w:tcPr>
          <w:p w14:paraId="3D2886CE" w14:textId="77777777" w:rsidR="00000000" w:rsidRDefault="00000000">
            <w:pPr>
              <w:pStyle w:val="tabletext"/>
              <w:rPr>
                <w:bCs/>
              </w:rPr>
            </w:pPr>
          </w:p>
        </w:tc>
        <w:tc>
          <w:tcPr>
            <w:tcW w:w="7920" w:type="dxa"/>
            <w:tcBorders>
              <w:top w:val="nil"/>
              <w:left w:val="nil"/>
              <w:bottom w:val="single" w:sz="4" w:space="0" w:color="auto"/>
              <w:right w:val="single" w:sz="4" w:space="0" w:color="auto"/>
            </w:tcBorders>
            <w:shd w:val="clear" w:color="auto" w:fill="C0C0C0"/>
          </w:tcPr>
          <w:p w14:paraId="56C86B2B" w14:textId="77777777" w:rsidR="00000000" w:rsidRDefault="00000000">
            <w:pPr>
              <w:pStyle w:val="tabletext"/>
            </w:pPr>
            <w:r>
              <w:t xml:space="preserve">Patrons/Youth.  </w:t>
            </w:r>
          </w:p>
        </w:tc>
      </w:tr>
      <w:tr w:rsidR="00000000" w14:paraId="0D123714" w14:textId="77777777">
        <w:tblPrEx>
          <w:tblCellMar>
            <w:top w:w="0" w:type="dxa"/>
            <w:bottom w:w="0" w:type="dxa"/>
          </w:tblCellMar>
        </w:tblPrEx>
        <w:trPr>
          <w:cantSplit/>
        </w:trPr>
        <w:tc>
          <w:tcPr>
            <w:tcW w:w="1728" w:type="dxa"/>
            <w:tcBorders>
              <w:top w:val="single" w:sz="4" w:space="0" w:color="auto"/>
              <w:left w:val="single" w:sz="4" w:space="0" w:color="auto"/>
              <w:bottom w:val="single" w:sz="4" w:space="0" w:color="auto"/>
              <w:right w:val="nil"/>
            </w:tcBorders>
            <w:shd w:val="clear" w:color="auto" w:fill="C0C0C0"/>
          </w:tcPr>
          <w:p w14:paraId="418EB525" w14:textId="77777777" w:rsidR="00000000" w:rsidRDefault="00000000">
            <w:pPr>
              <w:pStyle w:val="tabletext"/>
              <w:rPr>
                <w:b/>
                <w:bCs/>
              </w:rPr>
            </w:pPr>
            <w:r>
              <w:rPr>
                <w:b/>
                <w:bCs/>
              </w:rPr>
              <w:t>Min. net m</w:t>
            </w:r>
            <w:r>
              <w:rPr>
                <w:b/>
                <w:bCs/>
                <w:vertAlign w:val="superscript"/>
              </w:rPr>
              <w:t>2</w:t>
            </w:r>
            <w:r>
              <w:rPr>
                <w:b/>
                <w:bCs/>
              </w:rPr>
              <w:t xml:space="preserve"> (ft</w:t>
            </w:r>
            <w:r>
              <w:rPr>
                <w:b/>
                <w:bCs/>
                <w:vertAlign w:val="superscript"/>
              </w:rPr>
              <w:t>2</w:t>
            </w:r>
            <w:r>
              <w:rPr>
                <w:b/>
                <w:bCs/>
              </w:rPr>
              <w:t>)</w:t>
            </w:r>
          </w:p>
        </w:tc>
        <w:tc>
          <w:tcPr>
            <w:tcW w:w="7920" w:type="dxa"/>
            <w:tcBorders>
              <w:top w:val="single" w:sz="4" w:space="0" w:color="auto"/>
              <w:left w:val="nil"/>
              <w:bottom w:val="single" w:sz="4" w:space="0" w:color="auto"/>
              <w:right w:val="single" w:sz="4" w:space="0" w:color="auto"/>
            </w:tcBorders>
            <w:shd w:val="clear" w:color="auto" w:fill="C0C0C0"/>
          </w:tcPr>
          <w:p w14:paraId="1AC83126" w14:textId="77777777" w:rsidR="00000000" w:rsidRDefault="00000000">
            <w:pPr>
              <w:pStyle w:val="tabletext"/>
            </w:pPr>
          </w:p>
        </w:tc>
      </w:tr>
    </w:tbl>
    <w:p w14:paraId="0ED7BD8E" w14:textId="77777777" w:rsidR="004272E7" w:rsidRDefault="004272E7"/>
    <w:sectPr w:rsidR="004272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485EC0"/>
    <w:multiLevelType w:val="hybridMultilevel"/>
    <w:tmpl w:val="5392842E"/>
    <w:lvl w:ilvl="0" w:tplc="3D6A992C">
      <w:start w:val="1"/>
      <w:numFmt w:val="lowerLetter"/>
      <w:pStyle w:val="UFCletterbullet"/>
      <w:lvlText w:val="%1."/>
      <w:lvlJc w:val="left"/>
      <w:pPr>
        <w:tabs>
          <w:tab w:val="num" w:pos="1080"/>
        </w:tabs>
        <w:ind w:left="1080" w:hanging="360"/>
      </w:pPr>
      <w:rPr>
        <w:rFonts w:hint="default"/>
      </w:rPr>
    </w:lvl>
    <w:lvl w:ilvl="1" w:tplc="ADECBB58">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562978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CC8"/>
    <w:rsid w:val="004272E7"/>
    <w:rsid w:val="004C3CC8"/>
    <w:rsid w:val="00D97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A02B18"/>
  <w15:chartTrackingRefBased/>
  <w15:docId w15:val="{A6A93918-9F9C-435B-9636-EB0F535F9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FCletterbullet">
    <w:name w:val="UFC letter bullet"/>
    <w:basedOn w:val="Normal"/>
    <w:pPr>
      <w:numPr>
        <w:numId w:val="1"/>
      </w:numPr>
    </w:pPr>
    <w:rPr>
      <w:rFonts w:ascii="Arial" w:hAnsi="Arial" w:cs="Arial"/>
      <w:szCs w:val="18"/>
    </w:rPr>
  </w:style>
  <w:style w:type="paragraph" w:customStyle="1" w:styleId="UFCtable">
    <w:name w:val="UFCtable"/>
    <w:basedOn w:val="Normal"/>
    <w:pPr>
      <w:spacing w:after="240"/>
      <w:jc w:val="center"/>
    </w:pPr>
    <w:rPr>
      <w:rFonts w:ascii="Arial" w:hAnsi="Arial" w:cs="Arial"/>
      <w:b/>
      <w:snapToGrid w:val="0"/>
    </w:rPr>
  </w:style>
  <w:style w:type="paragraph" w:customStyle="1" w:styleId="tabletext">
    <w:name w:val="table text"/>
    <w:basedOn w:val="Normal"/>
    <w:pPr>
      <w:spacing w:before="20" w:after="20"/>
    </w:pPr>
    <w:rPr>
      <w:rFonts w:ascii="Arial" w:eastAsia="Arial Unicode MS" w:hAnsi="Arial" w:cs="Arial"/>
      <w:sz w:val="20"/>
    </w:rPr>
  </w:style>
  <w:style w:type="paragraph" w:customStyle="1" w:styleId="tablehead2">
    <w:name w:val="table head2"/>
    <w:basedOn w:val="Normal"/>
    <w:pPr>
      <w:spacing w:before="60" w:after="60"/>
      <w:jc w:val="center"/>
    </w:pPr>
    <w:rPr>
      <w:rFonts w:ascii="Arial" w:hAnsi="Arial" w:cs="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366</Words>
  <Characters>2089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TABLE 4-11-3 Small Multipurpose Room</vt:lpstr>
    </vt:vector>
  </TitlesOfParts>
  <Company>United States Department of Defense</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4-11-3 Small Multipurpose Room</dc:title>
  <dc:subject/>
  <cp:keywords/>
  <dc:description/>
  <cp:revision>2</cp:revision>
  <dcterms:created xsi:type="dcterms:W3CDTF">2024-06-06T15:09:00Z</dcterms:created>
  <dcterms:modified xsi:type="dcterms:W3CDTF">2024-06-06T15:09:00Z</dcterms:modified>
  <cp:category>UFC</cp:category>
</cp:coreProperties>
</file>